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319F" w14:textId="1DBB0740" w:rsidR="004B7B60" w:rsidRPr="0007305B" w:rsidRDefault="004B7B60" w:rsidP="002676E6">
      <w:pPr>
        <w:pStyle w:val="NoSpacing"/>
        <w:ind w:left="714"/>
        <w:rPr>
          <w:rFonts w:ascii="Times New Roman" w:hAnsi="Times New Roman" w:cs="Times New Roman"/>
          <w:b/>
          <w:bCs/>
          <w:szCs w:val="24"/>
          <w:lang w:val="en-US"/>
        </w:rPr>
      </w:pPr>
      <w:r w:rsidRPr="00CA452C">
        <w:rPr>
          <w:rFonts w:ascii="Times New Roman" w:hAnsi="Times New Roman" w:cs="Times New Roman"/>
          <w:szCs w:val="24"/>
          <w:lang w:val="en-US"/>
        </w:rPr>
        <w:t xml:space="preserve">  </w:t>
      </w:r>
      <w:r w:rsidR="0007305B" w:rsidRPr="00CA452C">
        <w:rPr>
          <w:rFonts w:ascii="Times New Roman" w:hAnsi="Times New Roman" w:cs="Times New Roman"/>
          <w:b/>
          <w:bCs/>
          <w:szCs w:val="24"/>
          <w:lang w:val="en-US"/>
        </w:rPr>
        <w:t>CLARIFICATIONS WITH REFERENCE TO RFP NO. SBOSS/2026-27/04 DATED 07.04.2026 –</w:t>
      </w:r>
      <w:r w:rsidR="0007305B">
        <w:rPr>
          <w:rFonts w:ascii="Times New Roman" w:hAnsi="Times New Roman" w:cs="Times New Roman"/>
          <w:b/>
          <w:bCs/>
          <w:szCs w:val="24"/>
          <w:lang w:val="en-US"/>
        </w:rPr>
        <w:t xml:space="preserve"> </w:t>
      </w:r>
      <w:r w:rsidR="0007305B" w:rsidRPr="00CA452C">
        <w:rPr>
          <w:rFonts w:ascii="Times New Roman" w:hAnsi="Times New Roman" w:cs="Times New Roman"/>
          <w:b/>
          <w:bCs/>
          <w:szCs w:val="24"/>
          <w:lang w:val="en-US"/>
        </w:rPr>
        <w:t xml:space="preserve"> </w:t>
      </w:r>
      <w:r w:rsidR="0007305B" w:rsidRPr="0007305B">
        <w:rPr>
          <w:rFonts w:ascii="Times New Roman" w:hAnsi="Times New Roman" w:cs="Times New Roman"/>
          <w:b/>
          <w:bCs/>
          <w:szCs w:val="24"/>
          <w:lang w:val="en-US"/>
        </w:rPr>
        <w:t xml:space="preserve">INTERNAL AUDITOR &amp; TAX CONSULTANT SERVICES  </w:t>
      </w:r>
    </w:p>
    <w:p w14:paraId="7C37F953" w14:textId="5ED29034" w:rsidR="004B7B60" w:rsidRPr="0007305B" w:rsidRDefault="004B7B60" w:rsidP="004B7B60">
      <w:pPr>
        <w:pStyle w:val="NoSpacing"/>
        <w:ind w:left="357"/>
        <w:rPr>
          <w:rFonts w:ascii="Times New Roman" w:hAnsi="Times New Roman" w:cs="Times New Roman"/>
          <w:b/>
          <w:bCs/>
          <w:szCs w:val="24"/>
          <w:lang w:val="en-US"/>
        </w:rPr>
      </w:pPr>
    </w:p>
    <w:p w14:paraId="792A8544" w14:textId="09BA1AD2" w:rsidR="0033361D" w:rsidRPr="00CA452C" w:rsidRDefault="0033361D" w:rsidP="002676E6">
      <w:pPr>
        <w:pStyle w:val="NoSpacing"/>
        <w:ind w:left="435" w:firstLine="0"/>
        <w:rPr>
          <w:rFonts w:ascii="Times New Roman" w:hAnsi="Times New Roman" w:cs="Times New Roman"/>
          <w:szCs w:val="24"/>
          <w:lang w:val="en-US"/>
        </w:rPr>
      </w:pPr>
      <w:r w:rsidRPr="00CA452C">
        <w:rPr>
          <w:rFonts w:ascii="Times New Roman" w:hAnsi="Times New Roman" w:cs="Times New Roman"/>
          <w:szCs w:val="24"/>
          <w:lang w:val="en-US"/>
        </w:rPr>
        <w:t xml:space="preserve">In view of queries raised with reference to the captioned RFP’s Scope of Work, it has been decided to share it amongst all prospective bidders </w:t>
      </w:r>
      <w:r w:rsidR="0007305B">
        <w:rPr>
          <w:rFonts w:ascii="Times New Roman" w:hAnsi="Times New Roman" w:cs="Times New Roman"/>
          <w:szCs w:val="24"/>
          <w:lang w:val="en-US"/>
        </w:rPr>
        <w:t xml:space="preserve">by </w:t>
      </w:r>
      <w:r w:rsidRPr="00CA452C">
        <w:rPr>
          <w:rFonts w:ascii="Times New Roman" w:hAnsi="Times New Roman" w:cs="Times New Roman"/>
          <w:szCs w:val="24"/>
          <w:lang w:val="en-US"/>
        </w:rPr>
        <w:t>upload</w:t>
      </w:r>
      <w:r w:rsidR="0007305B">
        <w:rPr>
          <w:rFonts w:ascii="Times New Roman" w:hAnsi="Times New Roman" w:cs="Times New Roman"/>
          <w:szCs w:val="24"/>
          <w:lang w:val="en-US"/>
        </w:rPr>
        <w:t xml:space="preserve">ing </w:t>
      </w:r>
      <w:r w:rsidRPr="00CA452C">
        <w:rPr>
          <w:rFonts w:ascii="Times New Roman" w:hAnsi="Times New Roman" w:cs="Times New Roman"/>
          <w:szCs w:val="24"/>
          <w:lang w:val="en-US"/>
        </w:rPr>
        <w:t xml:space="preserve">the </w:t>
      </w:r>
      <w:r w:rsidR="0007305B">
        <w:rPr>
          <w:rFonts w:ascii="Times New Roman" w:hAnsi="Times New Roman" w:cs="Times New Roman"/>
          <w:szCs w:val="24"/>
          <w:lang w:val="en-US"/>
        </w:rPr>
        <w:t xml:space="preserve">same </w:t>
      </w:r>
      <w:r w:rsidRPr="00CA452C">
        <w:rPr>
          <w:rFonts w:ascii="Times New Roman" w:hAnsi="Times New Roman" w:cs="Times New Roman"/>
          <w:szCs w:val="24"/>
          <w:lang w:val="en-US"/>
        </w:rPr>
        <w:t xml:space="preserve"> to maintain the level playing field. The queries and their clarifications are as under:-</w:t>
      </w:r>
    </w:p>
    <w:p w14:paraId="24527E69" w14:textId="77777777" w:rsidR="0033361D" w:rsidRPr="00CA452C" w:rsidRDefault="0033361D" w:rsidP="002676E6">
      <w:pPr>
        <w:pStyle w:val="NoSpacing"/>
        <w:ind w:left="357"/>
        <w:rPr>
          <w:rFonts w:ascii="Times New Roman" w:hAnsi="Times New Roman" w:cs="Times New Roman"/>
          <w:szCs w:val="24"/>
          <w:lang w:val="en-US"/>
        </w:rPr>
      </w:pPr>
    </w:p>
    <w:tbl>
      <w:tblPr>
        <w:tblStyle w:val="TableGrid"/>
        <w:tblW w:w="0" w:type="auto"/>
        <w:tblInd w:w="357" w:type="dxa"/>
        <w:tblLook w:val="04A0" w:firstRow="1" w:lastRow="0" w:firstColumn="1" w:lastColumn="0" w:noHBand="0" w:noVBand="1"/>
      </w:tblPr>
      <w:tblGrid>
        <w:gridCol w:w="763"/>
        <w:gridCol w:w="2513"/>
        <w:gridCol w:w="3168"/>
        <w:gridCol w:w="2209"/>
      </w:tblGrid>
      <w:tr w:rsidR="008E183F" w:rsidRPr="00CA452C" w14:paraId="3BDA748A" w14:textId="77777777" w:rsidTr="00804CB8">
        <w:tc>
          <w:tcPr>
            <w:tcW w:w="720" w:type="dxa"/>
          </w:tcPr>
          <w:p w14:paraId="70580BD5" w14:textId="4D9BF342" w:rsidR="008E183F" w:rsidRPr="00CA452C" w:rsidRDefault="008E183F" w:rsidP="0033361D">
            <w:pPr>
              <w:pStyle w:val="NoSpacing"/>
              <w:ind w:left="0" w:firstLine="0"/>
              <w:rPr>
                <w:rFonts w:ascii="Times New Roman" w:hAnsi="Times New Roman" w:cs="Times New Roman"/>
                <w:szCs w:val="24"/>
                <w:lang w:val="en-US"/>
              </w:rPr>
            </w:pPr>
            <w:r w:rsidRPr="00CA452C">
              <w:rPr>
                <w:rFonts w:ascii="Times New Roman" w:hAnsi="Times New Roman" w:cs="Times New Roman"/>
                <w:szCs w:val="24"/>
                <w:lang w:val="en-US"/>
              </w:rPr>
              <w:t xml:space="preserve">S.No. </w:t>
            </w:r>
          </w:p>
        </w:tc>
        <w:tc>
          <w:tcPr>
            <w:tcW w:w="2531" w:type="dxa"/>
          </w:tcPr>
          <w:p w14:paraId="3CEF6845" w14:textId="77777777" w:rsidR="008E183F" w:rsidRPr="00CA452C" w:rsidRDefault="008E183F" w:rsidP="0033361D">
            <w:pPr>
              <w:pStyle w:val="NoSpacing"/>
              <w:ind w:left="0" w:firstLine="0"/>
              <w:rPr>
                <w:rFonts w:ascii="Times New Roman" w:hAnsi="Times New Roman" w:cs="Times New Roman"/>
                <w:szCs w:val="24"/>
                <w:lang w:val="en-US"/>
              </w:rPr>
            </w:pPr>
          </w:p>
        </w:tc>
        <w:tc>
          <w:tcPr>
            <w:tcW w:w="3191" w:type="dxa"/>
          </w:tcPr>
          <w:p w14:paraId="7CCAE94E" w14:textId="138052A6" w:rsidR="008E183F" w:rsidRPr="00CA452C" w:rsidRDefault="008E183F" w:rsidP="0033361D">
            <w:pPr>
              <w:pStyle w:val="NoSpacing"/>
              <w:ind w:left="0" w:firstLine="0"/>
              <w:rPr>
                <w:rFonts w:ascii="Times New Roman" w:hAnsi="Times New Roman" w:cs="Times New Roman"/>
                <w:szCs w:val="24"/>
                <w:lang w:val="en-US"/>
              </w:rPr>
            </w:pPr>
            <w:r w:rsidRPr="00CA452C">
              <w:rPr>
                <w:rFonts w:ascii="Times New Roman" w:hAnsi="Times New Roman" w:cs="Times New Roman"/>
                <w:szCs w:val="24"/>
                <w:lang w:val="en-US"/>
              </w:rPr>
              <w:t xml:space="preserve">Queries </w:t>
            </w:r>
          </w:p>
        </w:tc>
        <w:tc>
          <w:tcPr>
            <w:tcW w:w="2211" w:type="dxa"/>
          </w:tcPr>
          <w:p w14:paraId="0F654A27" w14:textId="224F0C6A" w:rsidR="008E183F" w:rsidRPr="00CA452C" w:rsidRDefault="008E183F" w:rsidP="0033361D">
            <w:pPr>
              <w:pStyle w:val="NoSpacing"/>
              <w:ind w:left="0" w:firstLine="0"/>
              <w:rPr>
                <w:rFonts w:ascii="Times New Roman" w:hAnsi="Times New Roman" w:cs="Times New Roman"/>
                <w:szCs w:val="24"/>
                <w:lang w:val="en-US"/>
              </w:rPr>
            </w:pPr>
            <w:r w:rsidRPr="00CA452C">
              <w:rPr>
                <w:rFonts w:ascii="Times New Roman" w:hAnsi="Times New Roman" w:cs="Times New Roman"/>
                <w:szCs w:val="24"/>
                <w:lang w:val="en-US"/>
              </w:rPr>
              <w:t xml:space="preserve">Clarifications </w:t>
            </w:r>
          </w:p>
        </w:tc>
      </w:tr>
      <w:tr w:rsidR="008E183F" w:rsidRPr="00CA452C" w14:paraId="40B29B5A" w14:textId="77777777" w:rsidTr="00804CB8">
        <w:tc>
          <w:tcPr>
            <w:tcW w:w="720" w:type="dxa"/>
          </w:tcPr>
          <w:p w14:paraId="46B598B7" w14:textId="309D9FE0" w:rsidR="008E183F" w:rsidRPr="00CA452C" w:rsidRDefault="008E183F" w:rsidP="0033361D">
            <w:pPr>
              <w:pStyle w:val="NoSpacing"/>
              <w:ind w:left="0" w:firstLine="0"/>
              <w:rPr>
                <w:rFonts w:ascii="Times New Roman" w:hAnsi="Times New Roman" w:cs="Times New Roman"/>
                <w:szCs w:val="24"/>
                <w:lang w:val="en-US"/>
              </w:rPr>
            </w:pPr>
            <w:r w:rsidRPr="00CA452C">
              <w:rPr>
                <w:rFonts w:ascii="Times New Roman" w:hAnsi="Times New Roman" w:cs="Times New Roman"/>
                <w:szCs w:val="24"/>
                <w:lang w:val="en-US"/>
              </w:rPr>
              <w:t>1.</w:t>
            </w:r>
          </w:p>
        </w:tc>
        <w:tc>
          <w:tcPr>
            <w:tcW w:w="2531" w:type="dxa"/>
          </w:tcPr>
          <w:p w14:paraId="738D442F" w14:textId="4357AAEB" w:rsidR="005B12D2" w:rsidRPr="00CA452C" w:rsidRDefault="005B12D2" w:rsidP="005B12D2">
            <w:pPr>
              <w:pStyle w:val="xxmsoplaintext"/>
              <w:shd w:val="clear" w:color="auto" w:fill="FFFFFF"/>
              <w:spacing w:before="0" w:beforeAutospacing="0" w:after="0" w:afterAutospacing="0"/>
              <w:jc w:val="both"/>
              <w:rPr>
                <w:b/>
                <w:bCs/>
                <w:color w:val="242424"/>
              </w:rPr>
            </w:pPr>
            <w:r w:rsidRPr="00CA452C">
              <w:rPr>
                <w:b/>
                <w:bCs/>
                <w:color w:val="242424"/>
              </w:rPr>
              <w:t xml:space="preserve">“Page 8 of RFP </w:t>
            </w:r>
          </w:p>
          <w:p w14:paraId="774C8616" w14:textId="1FC21430" w:rsidR="008E183F" w:rsidRPr="00CA452C" w:rsidRDefault="008E183F" w:rsidP="005B12D2">
            <w:pPr>
              <w:pStyle w:val="xxmsoplaintext"/>
              <w:shd w:val="clear" w:color="auto" w:fill="FFFFFF"/>
              <w:spacing w:before="0" w:beforeAutospacing="0" w:after="0" w:afterAutospacing="0"/>
              <w:jc w:val="both"/>
              <w:rPr>
                <w:b/>
                <w:bCs/>
                <w:color w:val="242424"/>
              </w:rPr>
            </w:pPr>
            <w:r w:rsidRPr="00CA452C">
              <w:rPr>
                <w:b/>
                <w:bCs/>
                <w:color w:val="242424"/>
              </w:rPr>
              <w:t xml:space="preserve">A. Scope of Work &amp; Services </w:t>
            </w:r>
          </w:p>
          <w:p w14:paraId="3D257EF0" w14:textId="629CCF80" w:rsidR="008E183F" w:rsidRPr="00CA452C" w:rsidRDefault="005B12D2" w:rsidP="005B12D2">
            <w:pPr>
              <w:pStyle w:val="xxmsoplaintext"/>
              <w:shd w:val="clear" w:color="auto" w:fill="FFFFFF"/>
              <w:spacing w:before="0" w:beforeAutospacing="0" w:after="0" w:afterAutospacing="0"/>
              <w:jc w:val="both"/>
              <w:rPr>
                <w:color w:val="242424"/>
              </w:rPr>
            </w:pPr>
            <w:r w:rsidRPr="00CA452C">
              <w:rPr>
                <w:color w:val="242424"/>
              </w:rPr>
              <w:t>-</w:t>
            </w:r>
            <w:r w:rsidR="008E183F" w:rsidRPr="00CA452C">
              <w:rPr>
                <w:b/>
                <w:bCs/>
                <w:color w:val="242424"/>
              </w:rPr>
              <w:t>Review</w:t>
            </w:r>
            <w:r w:rsidR="008E183F" w:rsidRPr="00CA452C">
              <w:rPr>
                <w:color w:val="242424"/>
              </w:rPr>
              <w:t xml:space="preserve"> and evaluation of the adequacy and effectiveness of the internal control, risk management, and governance systems and processes at various levels of the Company.</w:t>
            </w:r>
          </w:p>
          <w:p w14:paraId="628395C0" w14:textId="2B92FEF4" w:rsidR="008E183F" w:rsidRPr="00CA452C" w:rsidRDefault="005B12D2" w:rsidP="005B12D2">
            <w:pPr>
              <w:pStyle w:val="xxmsoplaintext"/>
              <w:shd w:val="clear" w:color="auto" w:fill="FFFFFF"/>
              <w:spacing w:before="0" w:beforeAutospacing="0" w:after="0" w:afterAutospacing="0"/>
              <w:jc w:val="both"/>
              <w:rPr>
                <w:color w:val="242424"/>
              </w:rPr>
            </w:pPr>
            <w:r w:rsidRPr="00CA452C">
              <w:rPr>
                <w:color w:val="242424"/>
              </w:rPr>
              <w:t>-</w:t>
            </w:r>
            <w:r w:rsidR="008E183F" w:rsidRPr="00CA452C">
              <w:rPr>
                <w:color w:val="242424"/>
              </w:rPr>
              <w:t>implementation of relevant policies, manuals etc.</w:t>
            </w:r>
          </w:p>
          <w:p w14:paraId="6D14DB69" w14:textId="414BA1B8" w:rsidR="008E183F" w:rsidRPr="00CA452C" w:rsidRDefault="005B12D2" w:rsidP="005B12D2">
            <w:pPr>
              <w:pStyle w:val="xxmsoplaintext"/>
              <w:shd w:val="clear" w:color="auto" w:fill="FFFFFF"/>
              <w:spacing w:before="0" w:beforeAutospacing="0" w:after="0" w:afterAutospacing="0"/>
              <w:jc w:val="both"/>
              <w:rPr>
                <w:color w:val="242424"/>
              </w:rPr>
            </w:pPr>
            <w:r w:rsidRPr="00CA452C">
              <w:rPr>
                <w:color w:val="242424"/>
              </w:rPr>
              <w:t>-</w:t>
            </w:r>
            <w:r w:rsidR="008E183F" w:rsidRPr="00CA452C">
              <w:rPr>
                <w:b/>
                <w:bCs/>
                <w:color w:val="242424"/>
              </w:rPr>
              <w:t>Assessment</w:t>
            </w:r>
            <w:r w:rsidR="008E183F" w:rsidRPr="00CA452C">
              <w:rPr>
                <w:color w:val="242424"/>
              </w:rPr>
              <w:t xml:space="preserve"> of operations with the overall strategy and growth.</w:t>
            </w:r>
          </w:p>
          <w:p w14:paraId="5432443A" w14:textId="32226FFD" w:rsidR="008E183F" w:rsidRPr="00CA452C" w:rsidRDefault="005B12D2" w:rsidP="005B12D2">
            <w:pPr>
              <w:pStyle w:val="xxmsoplaintext"/>
              <w:shd w:val="clear" w:color="auto" w:fill="FFFFFF"/>
              <w:spacing w:before="0" w:beforeAutospacing="0" w:after="0" w:afterAutospacing="0"/>
              <w:jc w:val="both"/>
              <w:rPr>
                <w:color w:val="242424"/>
              </w:rPr>
            </w:pPr>
            <w:r w:rsidRPr="00CA452C">
              <w:rPr>
                <w:color w:val="242424"/>
              </w:rPr>
              <w:t>--</w:t>
            </w:r>
            <w:r w:rsidR="008E183F" w:rsidRPr="00CA452C">
              <w:rPr>
                <w:b/>
                <w:bCs/>
                <w:color w:val="242424"/>
              </w:rPr>
              <w:t>Robustness</w:t>
            </w:r>
            <w:r w:rsidR="008E183F" w:rsidRPr="00CA452C">
              <w:rPr>
                <w:color w:val="242424"/>
              </w:rPr>
              <w:t xml:space="preserve"> and correctness of the Management Information System (MIS) and IT enablement.</w:t>
            </w:r>
          </w:p>
          <w:p w14:paraId="2770534B" w14:textId="198475E4" w:rsidR="008E183F" w:rsidRPr="00CA452C" w:rsidRDefault="005B12D2" w:rsidP="005B12D2">
            <w:pPr>
              <w:pStyle w:val="xxmsoplaintext"/>
              <w:shd w:val="clear" w:color="auto" w:fill="FFFFFF"/>
              <w:spacing w:before="0" w:beforeAutospacing="0" w:after="0" w:afterAutospacing="0"/>
              <w:jc w:val="both"/>
              <w:rPr>
                <w:color w:val="242424"/>
              </w:rPr>
            </w:pPr>
            <w:r w:rsidRPr="00CA452C">
              <w:rPr>
                <w:color w:val="242424"/>
              </w:rPr>
              <w:t>-</w:t>
            </w:r>
            <w:r w:rsidR="008E183F" w:rsidRPr="00CA452C">
              <w:rPr>
                <w:b/>
                <w:bCs/>
                <w:color w:val="242424"/>
              </w:rPr>
              <w:t xml:space="preserve">Compliance </w:t>
            </w:r>
            <w:r w:rsidR="008E183F" w:rsidRPr="00CA452C">
              <w:rPr>
                <w:color w:val="242424"/>
              </w:rPr>
              <w:t>with RBI / regulatory guidelines for which Bank-specific operating guidelines and SOPs, have been issued and /or necessary systems have been put in place.</w:t>
            </w:r>
          </w:p>
          <w:p w14:paraId="1B381F24" w14:textId="15E8DB11" w:rsidR="008E183F" w:rsidRPr="00CA452C" w:rsidRDefault="005B12D2" w:rsidP="005B12D2">
            <w:pPr>
              <w:pStyle w:val="xxmsoplaintext"/>
              <w:shd w:val="clear" w:color="auto" w:fill="FFFFFF"/>
              <w:spacing w:before="0" w:beforeAutospacing="0" w:after="0" w:afterAutospacing="0"/>
              <w:jc w:val="both"/>
              <w:rPr>
                <w:color w:val="242424"/>
              </w:rPr>
            </w:pPr>
            <w:r w:rsidRPr="00CA452C">
              <w:rPr>
                <w:color w:val="242424"/>
              </w:rPr>
              <w:t>-</w:t>
            </w:r>
            <w:r w:rsidR="008E183F" w:rsidRPr="00CA452C">
              <w:rPr>
                <w:b/>
                <w:bCs/>
                <w:color w:val="242424"/>
              </w:rPr>
              <w:t>Providing</w:t>
            </w:r>
            <w:r w:rsidR="008E183F" w:rsidRPr="00CA452C">
              <w:rPr>
                <w:color w:val="242424"/>
              </w:rPr>
              <w:t xml:space="preserve"> appropriate feedback to Senior Management and Business Verticals on the adequacy of the internal control environment and the operational effectiveness of controls.</w:t>
            </w:r>
            <w:r w:rsidRPr="00CA452C">
              <w:rPr>
                <w:color w:val="242424"/>
              </w:rPr>
              <w:t>”</w:t>
            </w:r>
          </w:p>
          <w:p w14:paraId="14BBBF9A" w14:textId="77777777" w:rsidR="008E183F" w:rsidRPr="00CA452C" w:rsidRDefault="008E183F" w:rsidP="00C0252A">
            <w:pPr>
              <w:ind w:left="0" w:firstLine="0"/>
              <w:jc w:val="left"/>
              <w:rPr>
                <w:rFonts w:ascii="Times New Roman" w:eastAsia="Times New Roman" w:hAnsi="Times New Roman" w:cs="Times New Roman"/>
                <w:kern w:val="0"/>
                <w:szCs w:val="24"/>
                <w:lang w:eastAsia="en-IN"/>
                <w14:ligatures w14:val="none"/>
              </w:rPr>
            </w:pPr>
          </w:p>
        </w:tc>
        <w:tc>
          <w:tcPr>
            <w:tcW w:w="3191" w:type="dxa"/>
          </w:tcPr>
          <w:p w14:paraId="0F8332C4" w14:textId="47800139" w:rsidR="008E183F" w:rsidRPr="00CA452C" w:rsidRDefault="008E183F" w:rsidP="00C0252A">
            <w:pPr>
              <w:ind w:left="0" w:firstLine="0"/>
              <w:jc w:val="left"/>
              <w:rPr>
                <w:rFonts w:ascii="Times New Roman" w:eastAsia="Times New Roman" w:hAnsi="Times New Roman" w:cs="Times New Roman"/>
                <w:kern w:val="0"/>
                <w:szCs w:val="24"/>
                <w:lang w:eastAsia="en-IN"/>
                <w14:ligatures w14:val="none"/>
              </w:rPr>
            </w:pPr>
            <w:r w:rsidRPr="00CA452C">
              <w:rPr>
                <w:rFonts w:ascii="Times New Roman" w:eastAsia="Times New Roman" w:hAnsi="Times New Roman" w:cs="Times New Roman"/>
                <w:kern w:val="0"/>
                <w:szCs w:val="24"/>
                <w:lang w:eastAsia="en-IN"/>
                <w14:ligatures w14:val="none"/>
              </w:rPr>
              <w:lastRenderedPageBreak/>
              <w:t xml:space="preserve">“The key outcomes intended to achieve are mentioned on initial pages of RFP, which appears largely tax focused. in this context, please clarify whether the Internal Audit scope is intended to be conducted primarily from a tax perspective (tax processes/controls for direct &amp; indirect tax compliances) or whether it is a standard internal audit of SBOSS’s overall operations/financial controls (beyond tax)” </w:t>
            </w:r>
          </w:p>
          <w:p w14:paraId="373F48AB" w14:textId="77777777" w:rsidR="008E183F" w:rsidRPr="00CA452C" w:rsidRDefault="008E183F" w:rsidP="00C0252A">
            <w:pPr>
              <w:ind w:left="0" w:firstLine="0"/>
              <w:jc w:val="left"/>
              <w:rPr>
                <w:rFonts w:ascii="Times New Roman" w:eastAsia="Times New Roman" w:hAnsi="Times New Roman" w:cs="Times New Roman"/>
                <w:kern w:val="0"/>
                <w:szCs w:val="24"/>
                <w:lang w:eastAsia="en-IN"/>
                <w14:ligatures w14:val="none"/>
              </w:rPr>
            </w:pPr>
          </w:p>
          <w:p w14:paraId="3FB0825E" w14:textId="77777777" w:rsidR="008E183F" w:rsidRPr="00CA452C" w:rsidRDefault="008E183F" w:rsidP="0033361D">
            <w:pPr>
              <w:pStyle w:val="NoSpacing"/>
              <w:ind w:left="0" w:firstLine="0"/>
              <w:rPr>
                <w:rFonts w:ascii="Times New Roman" w:hAnsi="Times New Roman" w:cs="Times New Roman"/>
                <w:szCs w:val="24"/>
              </w:rPr>
            </w:pPr>
          </w:p>
        </w:tc>
        <w:tc>
          <w:tcPr>
            <w:tcW w:w="2211" w:type="dxa"/>
          </w:tcPr>
          <w:p w14:paraId="5DD7032E" w14:textId="4033138C" w:rsidR="00974B2E" w:rsidRPr="00CA452C" w:rsidRDefault="00CA452C" w:rsidP="00974B2E">
            <w:pPr>
              <w:ind w:left="0" w:firstLine="0"/>
              <w:jc w:val="left"/>
              <w:rPr>
                <w:rFonts w:ascii="Times New Roman" w:eastAsia="Times New Roman" w:hAnsi="Times New Roman" w:cs="Times New Roman"/>
                <w:kern w:val="0"/>
                <w:szCs w:val="24"/>
                <w:lang w:eastAsia="en-IN"/>
                <w14:ligatures w14:val="none"/>
              </w:rPr>
            </w:pPr>
            <w:r>
              <w:rPr>
                <w:rFonts w:ascii="Times New Roman" w:hAnsi="Times New Roman" w:cs="Times New Roman"/>
                <w:szCs w:val="24"/>
              </w:rPr>
              <w:t xml:space="preserve">In addition to what has been stated in the SOW, </w:t>
            </w:r>
            <w:r w:rsidR="00974B2E">
              <w:rPr>
                <w:rFonts w:ascii="Times New Roman" w:hAnsi="Times New Roman" w:cs="Times New Roman"/>
                <w:szCs w:val="24"/>
              </w:rPr>
              <w:t xml:space="preserve">the internal Audit Scope includes both i.e., it is to be </w:t>
            </w:r>
            <w:r w:rsidR="00974B2E" w:rsidRPr="00CA452C">
              <w:rPr>
                <w:rFonts w:ascii="Times New Roman" w:eastAsia="Times New Roman" w:hAnsi="Times New Roman" w:cs="Times New Roman"/>
                <w:kern w:val="0"/>
                <w:szCs w:val="24"/>
                <w:lang w:eastAsia="en-IN"/>
                <w14:ligatures w14:val="none"/>
              </w:rPr>
              <w:t xml:space="preserve">conducted from a tax perspective (tax processes/controls for direct &amp; indirect tax compliances) </w:t>
            </w:r>
            <w:r w:rsidR="00974B2E">
              <w:rPr>
                <w:rFonts w:ascii="Times New Roman" w:eastAsia="Times New Roman" w:hAnsi="Times New Roman" w:cs="Times New Roman"/>
                <w:kern w:val="0"/>
                <w:szCs w:val="24"/>
                <w:lang w:eastAsia="en-IN"/>
                <w14:ligatures w14:val="none"/>
              </w:rPr>
              <w:t xml:space="preserve">as well as </w:t>
            </w:r>
            <w:r w:rsidR="00974B2E" w:rsidRPr="00CA452C">
              <w:rPr>
                <w:rFonts w:ascii="Times New Roman" w:eastAsia="Times New Roman" w:hAnsi="Times New Roman" w:cs="Times New Roman"/>
                <w:kern w:val="0"/>
                <w:szCs w:val="24"/>
                <w:lang w:eastAsia="en-IN"/>
                <w14:ligatures w14:val="none"/>
              </w:rPr>
              <w:t>a standard internal audit of SBOSS’s overall operations/financial controls (beyond tax)</w:t>
            </w:r>
            <w:r w:rsidR="00974B2E">
              <w:rPr>
                <w:rFonts w:ascii="Times New Roman" w:eastAsia="Times New Roman" w:hAnsi="Times New Roman" w:cs="Times New Roman"/>
                <w:kern w:val="0"/>
                <w:szCs w:val="24"/>
                <w:lang w:eastAsia="en-IN"/>
                <w14:ligatures w14:val="none"/>
              </w:rPr>
              <w:t xml:space="preserve">. </w:t>
            </w:r>
            <w:r w:rsidR="00974B2E" w:rsidRPr="00CA452C">
              <w:rPr>
                <w:rFonts w:ascii="Times New Roman" w:eastAsia="Times New Roman" w:hAnsi="Times New Roman" w:cs="Times New Roman"/>
                <w:kern w:val="0"/>
                <w:szCs w:val="24"/>
                <w:lang w:eastAsia="en-IN"/>
                <w14:ligatures w14:val="none"/>
              </w:rPr>
              <w:t xml:space="preserve"> </w:t>
            </w:r>
          </w:p>
          <w:p w14:paraId="1CA1D840" w14:textId="77777777" w:rsidR="00974B2E" w:rsidRPr="00CA452C" w:rsidRDefault="00974B2E" w:rsidP="00974B2E">
            <w:pPr>
              <w:ind w:left="0" w:firstLine="0"/>
              <w:jc w:val="left"/>
              <w:rPr>
                <w:rFonts w:ascii="Times New Roman" w:eastAsia="Times New Roman" w:hAnsi="Times New Roman" w:cs="Times New Roman"/>
                <w:kern w:val="0"/>
                <w:szCs w:val="24"/>
                <w:lang w:eastAsia="en-IN"/>
                <w14:ligatures w14:val="none"/>
              </w:rPr>
            </w:pPr>
          </w:p>
          <w:p w14:paraId="71861A79" w14:textId="4366321F" w:rsidR="008E183F" w:rsidRPr="00CA452C" w:rsidRDefault="008E183F" w:rsidP="0033361D">
            <w:pPr>
              <w:pStyle w:val="NoSpacing"/>
              <w:ind w:left="0" w:firstLine="0"/>
              <w:rPr>
                <w:rFonts w:ascii="Times New Roman" w:hAnsi="Times New Roman" w:cs="Times New Roman"/>
                <w:szCs w:val="24"/>
              </w:rPr>
            </w:pPr>
          </w:p>
        </w:tc>
      </w:tr>
      <w:tr w:rsidR="008E183F" w:rsidRPr="00CA452C" w14:paraId="3CF8D6CC" w14:textId="77777777" w:rsidTr="00804CB8">
        <w:tc>
          <w:tcPr>
            <w:tcW w:w="720" w:type="dxa"/>
          </w:tcPr>
          <w:p w14:paraId="1EFEAE3A" w14:textId="5E3E03C3" w:rsidR="008E183F" w:rsidRPr="00CA452C" w:rsidRDefault="008E183F" w:rsidP="0033361D">
            <w:pPr>
              <w:pStyle w:val="NoSpacing"/>
              <w:ind w:left="0" w:firstLine="0"/>
              <w:rPr>
                <w:rFonts w:ascii="Times New Roman" w:hAnsi="Times New Roman" w:cs="Times New Roman"/>
                <w:szCs w:val="24"/>
                <w:lang w:val="en-US"/>
              </w:rPr>
            </w:pPr>
            <w:r w:rsidRPr="00CA452C">
              <w:rPr>
                <w:rFonts w:ascii="Times New Roman" w:hAnsi="Times New Roman" w:cs="Times New Roman"/>
                <w:szCs w:val="24"/>
                <w:lang w:val="en-US"/>
              </w:rPr>
              <w:t xml:space="preserve">2. </w:t>
            </w:r>
          </w:p>
        </w:tc>
        <w:tc>
          <w:tcPr>
            <w:tcW w:w="2531" w:type="dxa"/>
          </w:tcPr>
          <w:p w14:paraId="5C4E3C0B" w14:textId="53CE70D1" w:rsidR="005B12D2" w:rsidRPr="00CA452C" w:rsidRDefault="002676E6" w:rsidP="005B12D2">
            <w:pPr>
              <w:ind w:left="0" w:firstLine="0"/>
              <w:jc w:val="left"/>
              <w:rPr>
                <w:rFonts w:ascii="Times New Roman" w:eastAsia="Times New Roman" w:hAnsi="Times New Roman" w:cs="Times New Roman"/>
                <w:b/>
                <w:bCs/>
                <w:kern w:val="0"/>
                <w:szCs w:val="24"/>
                <w:lang w:eastAsia="en-IN"/>
                <w14:ligatures w14:val="none"/>
              </w:rPr>
            </w:pPr>
            <w:r w:rsidRPr="00CA452C">
              <w:rPr>
                <w:rFonts w:ascii="Times New Roman" w:eastAsia="Times New Roman" w:hAnsi="Times New Roman" w:cs="Times New Roman"/>
                <w:b/>
                <w:bCs/>
                <w:kern w:val="0"/>
                <w:szCs w:val="24"/>
                <w:lang w:eastAsia="en-IN"/>
                <w14:ligatures w14:val="none"/>
              </w:rPr>
              <w:t>“</w:t>
            </w:r>
            <w:r w:rsidR="005B12D2" w:rsidRPr="00CA452C">
              <w:rPr>
                <w:rFonts w:ascii="Times New Roman" w:eastAsia="Times New Roman" w:hAnsi="Times New Roman" w:cs="Times New Roman"/>
                <w:b/>
                <w:bCs/>
                <w:kern w:val="0"/>
                <w:szCs w:val="24"/>
                <w:lang w:eastAsia="en-IN"/>
                <w14:ligatures w14:val="none"/>
              </w:rPr>
              <w:t>Page 10</w:t>
            </w:r>
            <w:r w:rsidR="00D534E5">
              <w:rPr>
                <w:rFonts w:ascii="Times New Roman" w:eastAsia="Times New Roman" w:hAnsi="Times New Roman" w:cs="Times New Roman"/>
                <w:b/>
                <w:bCs/>
                <w:kern w:val="0"/>
                <w:szCs w:val="24"/>
                <w:lang w:eastAsia="en-IN"/>
                <w14:ligatures w14:val="none"/>
              </w:rPr>
              <w:t xml:space="preserve"> of RFP</w:t>
            </w:r>
            <w:r w:rsidR="00111D94" w:rsidRPr="00CA452C">
              <w:rPr>
                <w:rFonts w:ascii="Times New Roman" w:eastAsia="Times New Roman" w:hAnsi="Times New Roman" w:cs="Times New Roman"/>
                <w:b/>
                <w:bCs/>
                <w:kern w:val="0"/>
                <w:szCs w:val="24"/>
                <w:lang w:eastAsia="en-IN"/>
                <w14:ligatures w14:val="none"/>
              </w:rPr>
              <w:t xml:space="preserve">. </w:t>
            </w:r>
          </w:p>
          <w:p w14:paraId="35DA230A" w14:textId="5C9F09F7" w:rsidR="005B12D2" w:rsidRPr="00CA452C" w:rsidRDefault="005B12D2" w:rsidP="005B12D2">
            <w:pPr>
              <w:ind w:left="0" w:firstLine="0"/>
              <w:jc w:val="left"/>
              <w:rPr>
                <w:rFonts w:ascii="Times New Roman" w:eastAsia="Times New Roman" w:hAnsi="Times New Roman" w:cs="Times New Roman"/>
                <w:b/>
                <w:bCs/>
                <w:kern w:val="0"/>
                <w:szCs w:val="24"/>
                <w:lang w:eastAsia="en-IN"/>
                <w14:ligatures w14:val="none"/>
              </w:rPr>
            </w:pPr>
            <w:r w:rsidRPr="00CA452C">
              <w:rPr>
                <w:rFonts w:ascii="Times New Roman" w:eastAsia="Times New Roman" w:hAnsi="Times New Roman" w:cs="Times New Roman"/>
                <w:b/>
                <w:bCs/>
                <w:kern w:val="0"/>
                <w:szCs w:val="24"/>
                <w:lang w:eastAsia="en-IN"/>
                <w14:ligatures w14:val="none"/>
              </w:rPr>
              <w:t>12C. Tax Compliances for Direct Taxes</w:t>
            </w:r>
          </w:p>
          <w:p w14:paraId="535B07C5" w14:textId="661F93F1" w:rsidR="005B12D2" w:rsidRPr="00CA452C" w:rsidRDefault="005B12D2" w:rsidP="005B12D2">
            <w:pPr>
              <w:ind w:left="0" w:firstLine="0"/>
              <w:jc w:val="left"/>
              <w:rPr>
                <w:rFonts w:ascii="Times New Roman" w:eastAsia="Times New Roman" w:hAnsi="Times New Roman" w:cs="Times New Roman"/>
                <w:kern w:val="0"/>
                <w:szCs w:val="24"/>
                <w:lang w:eastAsia="en-IN"/>
                <w14:ligatures w14:val="none"/>
              </w:rPr>
            </w:pPr>
            <w:r w:rsidRPr="00CA452C">
              <w:rPr>
                <w:rFonts w:ascii="Times New Roman" w:eastAsia="Times New Roman" w:hAnsi="Times New Roman" w:cs="Times New Roman"/>
                <w:kern w:val="0"/>
                <w:szCs w:val="24"/>
                <w:lang w:eastAsia="en-IN"/>
                <w14:ligatures w14:val="none"/>
              </w:rPr>
              <w:t>Tax Compliance: Preparation and filing of corporate, VAT/GST, withholding, and payroll tax returns.</w:t>
            </w:r>
            <w:r w:rsidR="002676E6" w:rsidRPr="00CA452C">
              <w:rPr>
                <w:rFonts w:ascii="Times New Roman" w:eastAsia="Times New Roman" w:hAnsi="Times New Roman" w:cs="Times New Roman"/>
                <w:kern w:val="0"/>
                <w:szCs w:val="24"/>
                <w:lang w:eastAsia="en-IN"/>
                <w14:ligatures w14:val="none"/>
              </w:rPr>
              <w:t>”</w:t>
            </w:r>
          </w:p>
          <w:p w14:paraId="6645FE7C" w14:textId="77777777" w:rsidR="005B12D2" w:rsidRPr="00CA452C" w:rsidRDefault="005B12D2" w:rsidP="005B12D2">
            <w:pPr>
              <w:ind w:left="0" w:firstLine="0"/>
              <w:jc w:val="left"/>
              <w:rPr>
                <w:rFonts w:ascii="Times New Roman" w:eastAsia="Times New Roman" w:hAnsi="Times New Roman" w:cs="Times New Roman"/>
                <w:kern w:val="0"/>
                <w:szCs w:val="24"/>
                <w:lang w:eastAsia="en-IN"/>
                <w14:ligatures w14:val="none"/>
              </w:rPr>
            </w:pPr>
          </w:p>
          <w:p w14:paraId="2B711EA4" w14:textId="77777777" w:rsidR="008E183F" w:rsidRPr="00CA452C" w:rsidRDefault="008E183F" w:rsidP="008E183F">
            <w:pPr>
              <w:ind w:left="0" w:firstLine="0"/>
              <w:jc w:val="left"/>
              <w:rPr>
                <w:rFonts w:ascii="Times New Roman" w:eastAsia="Times New Roman" w:hAnsi="Times New Roman" w:cs="Times New Roman"/>
                <w:kern w:val="0"/>
                <w:szCs w:val="24"/>
                <w:lang w:eastAsia="en-IN"/>
                <w14:ligatures w14:val="none"/>
              </w:rPr>
            </w:pPr>
          </w:p>
        </w:tc>
        <w:tc>
          <w:tcPr>
            <w:tcW w:w="3191" w:type="dxa"/>
          </w:tcPr>
          <w:p w14:paraId="78DF75BD" w14:textId="4F67E9E5" w:rsidR="005B12D2" w:rsidRPr="00CA452C" w:rsidRDefault="002676E6" w:rsidP="005B12D2">
            <w:pPr>
              <w:ind w:left="0" w:firstLine="0"/>
              <w:jc w:val="left"/>
              <w:rPr>
                <w:rFonts w:ascii="Times New Roman" w:eastAsia="Times New Roman" w:hAnsi="Times New Roman" w:cs="Times New Roman"/>
                <w:kern w:val="0"/>
                <w:szCs w:val="24"/>
                <w:lang w:eastAsia="en-IN"/>
                <w14:ligatures w14:val="none"/>
              </w:rPr>
            </w:pPr>
            <w:r w:rsidRPr="00CA452C">
              <w:rPr>
                <w:rFonts w:ascii="Times New Roman" w:eastAsia="Times New Roman" w:hAnsi="Times New Roman" w:cs="Times New Roman"/>
                <w:kern w:val="0"/>
                <w:szCs w:val="24"/>
                <w:lang w:eastAsia="en-IN"/>
                <w14:ligatures w14:val="none"/>
              </w:rPr>
              <w:t>“</w:t>
            </w:r>
            <w:r w:rsidR="005B12D2" w:rsidRPr="00CA452C">
              <w:rPr>
                <w:rFonts w:ascii="Times New Roman" w:eastAsia="Times New Roman" w:hAnsi="Times New Roman" w:cs="Times New Roman"/>
                <w:kern w:val="0"/>
                <w:szCs w:val="24"/>
                <w:lang w:eastAsia="en-IN"/>
                <w14:ligatures w14:val="none"/>
              </w:rPr>
              <w:t>Please elaborate what “payroll tax returns” covers in SBOSS context.</w:t>
            </w:r>
            <w:r w:rsidRPr="00CA452C">
              <w:rPr>
                <w:rFonts w:ascii="Times New Roman" w:eastAsia="Times New Roman" w:hAnsi="Times New Roman" w:cs="Times New Roman"/>
                <w:kern w:val="0"/>
                <w:szCs w:val="24"/>
                <w:lang w:eastAsia="en-IN"/>
                <w14:ligatures w14:val="none"/>
              </w:rPr>
              <w:t>”</w:t>
            </w:r>
          </w:p>
          <w:p w14:paraId="151457A1" w14:textId="77777777" w:rsidR="005B12D2" w:rsidRPr="00CA452C" w:rsidRDefault="005B12D2" w:rsidP="005B12D2">
            <w:pPr>
              <w:ind w:left="0" w:firstLine="0"/>
              <w:jc w:val="left"/>
              <w:rPr>
                <w:rFonts w:ascii="Times New Roman" w:eastAsia="Times New Roman" w:hAnsi="Times New Roman" w:cs="Times New Roman"/>
                <w:kern w:val="0"/>
                <w:szCs w:val="24"/>
                <w:lang w:eastAsia="en-IN"/>
                <w14:ligatures w14:val="none"/>
              </w:rPr>
            </w:pPr>
          </w:p>
          <w:p w14:paraId="2B6EBB71" w14:textId="77777777" w:rsidR="008E183F" w:rsidRPr="00CA452C" w:rsidRDefault="008E183F" w:rsidP="005B12D2">
            <w:pPr>
              <w:ind w:left="0" w:firstLine="0"/>
              <w:jc w:val="left"/>
              <w:rPr>
                <w:rFonts w:ascii="Times New Roman" w:hAnsi="Times New Roman" w:cs="Times New Roman"/>
                <w:szCs w:val="24"/>
              </w:rPr>
            </w:pPr>
          </w:p>
        </w:tc>
        <w:tc>
          <w:tcPr>
            <w:tcW w:w="2211" w:type="dxa"/>
          </w:tcPr>
          <w:p w14:paraId="73C67AB1" w14:textId="77140108" w:rsidR="00046F9E" w:rsidRPr="00CA452C" w:rsidRDefault="00804CB8" w:rsidP="00804CB8">
            <w:pPr>
              <w:ind w:left="0" w:firstLine="0"/>
              <w:jc w:val="left"/>
              <w:rPr>
                <w:rFonts w:ascii="Times New Roman" w:eastAsia="Times New Roman" w:hAnsi="Times New Roman" w:cs="Times New Roman"/>
                <w:kern w:val="0"/>
                <w:szCs w:val="24"/>
                <w:lang w:eastAsia="en-IN"/>
                <w14:ligatures w14:val="none"/>
              </w:rPr>
            </w:pPr>
            <w:r w:rsidRPr="00D534E5">
              <w:rPr>
                <w:rFonts w:ascii="Times New Roman" w:eastAsia="Times New Roman" w:hAnsi="Times New Roman" w:cs="Times New Roman"/>
                <w:color w:val="0A0A0A"/>
                <w:kern w:val="0"/>
                <w:sz w:val="22"/>
                <w:szCs w:val="22"/>
                <w:shd w:val="clear" w:color="auto" w:fill="FFFFFF"/>
                <w:lang w:eastAsia="en-IN"/>
                <w14:ligatures w14:val="none"/>
              </w:rPr>
              <w:t>Payroll tax is </w:t>
            </w:r>
            <w:r w:rsidRPr="00D534E5">
              <w:rPr>
                <w:rFonts w:ascii="Times New Roman" w:eastAsia="Times New Roman" w:hAnsi="Times New Roman" w:cs="Times New Roman"/>
                <w:kern w:val="0"/>
                <w:sz w:val="22"/>
                <w:szCs w:val="22"/>
                <w:lang w:eastAsia="en-IN"/>
                <w14:ligatures w14:val="none"/>
              </w:rPr>
              <w:t>a</w:t>
            </w:r>
            <w:r w:rsidRPr="00CA452C">
              <w:rPr>
                <w:rFonts w:ascii="Times New Roman" w:eastAsia="Times New Roman" w:hAnsi="Times New Roman" w:cs="Times New Roman"/>
                <w:kern w:val="0"/>
                <w:szCs w:val="24"/>
                <w:lang w:eastAsia="en-IN"/>
                <w14:ligatures w14:val="none"/>
              </w:rPr>
              <w:t xml:space="preserve"> mandatory,</w:t>
            </w:r>
            <w:r w:rsidR="00974B2E">
              <w:rPr>
                <w:rFonts w:ascii="Times New Roman" w:eastAsia="Times New Roman" w:hAnsi="Times New Roman" w:cs="Times New Roman"/>
                <w:kern w:val="0"/>
                <w:szCs w:val="24"/>
                <w:lang w:eastAsia="en-IN"/>
                <w14:ligatures w14:val="none"/>
              </w:rPr>
              <w:t xml:space="preserve"> \percentage (</w:t>
            </w:r>
            <w:r w:rsidR="00D534E5" w:rsidRPr="00CA452C">
              <w:rPr>
                <w:rFonts w:ascii="Times New Roman" w:eastAsia="Times New Roman" w:hAnsi="Times New Roman" w:cs="Times New Roman"/>
                <w:kern w:val="0"/>
                <w:szCs w:val="24"/>
                <w:lang w:eastAsia="en-IN"/>
                <w14:ligatures w14:val="none"/>
              </w:rPr>
              <w:t>%</w:t>
            </w:r>
            <w:r w:rsidR="00D534E5">
              <w:rPr>
                <w:rFonts w:ascii="Times New Roman" w:eastAsia="Times New Roman" w:hAnsi="Times New Roman" w:cs="Times New Roman"/>
                <w:kern w:val="0"/>
                <w:szCs w:val="24"/>
                <w:lang w:eastAsia="en-IN"/>
                <w14:ligatures w14:val="none"/>
              </w:rPr>
              <w:t xml:space="preserve">) </w:t>
            </w:r>
            <w:r w:rsidR="00D534E5" w:rsidRPr="00CA452C">
              <w:rPr>
                <w:rFonts w:ascii="Times New Roman" w:eastAsia="Times New Roman" w:hAnsi="Times New Roman" w:cs="Times New Roman"/>
                <w:kern w:val="0"/>
                <w:szCs w:val="24"/>
                <w:lang w:eastAsia="en-IN"/>
                <w14:ligatures w14:val="none"/>
              </w:rPr>
              <w:t>based</w:t>
            </w:r>
            <w:r w:rsidRPr="00CA452C">
              <w:rPr>
                <w:rFonts w:ascii="Times New Roman" w:eastAsia="Times New Roman" w:hAnsi="Times New Roman" w:cs="Times New Roman"/>
                <w:kern w:val="0"/>
                <w:szCs w:val="24"/>
                <w:lang w:eastAsia="en-IN"/>
                <w14:ligatures w14:val="none"/>
              </w:rPr>
              <w:t xml:space="preserve"> tax levied on employee wages, salaries</w:t>
            </w:r>
            <w:r w:rsidR="00046F9E" w:rsidRPr="00CA452C">
              <w:rPr>
                <w:rFonts w:ascii="Times New Roman" w:eastAsia="Times New Roman" w:hAnsi="Times New Roman" w:cs="Times New Roman"/>
                <w:kern w:val="0"/>
                <w:szCs w:val="24"/>
                <w:lang w:eastAsia="en-IN"/>
                <w14:ligatures w14:val="none"/>
              </w:rPr>
              <w:t xml:space="preserve">; also referred to as mandatory contributions deducted from the employee’s wages and equally contributed by the employer such as PF, ESIC, Professional Tax, Labour Welfare Tax   etc.  Purpose of such taxes is to fund Govt’s social welfare specific benefits.  </w:t>
            </w:r>
            <w:r w:rsidR="00D56EDB">
              <w:rPr>
                <w:rFonts w:ascii="Times New Roman" w:eastAsia="Times New Roman" w:hAnsi="Times New Roman" w:cs="Times New Roman"/>
                <w:kern w:val="0"/>
                <w:szCs w:val="24"/>
                <w:lang w:eastAsia="en-IN"/>
                <w14:ligatures w14:val="none"/>
              </w:rPr>
              <w:t xml:space="preserve">SBOSS has to file returns with reference to the aforesaid payroll taxes. </w:t>
            </w:r>
            <w:r w:rsidR="00046F9E" w:rsidRPr="00CA452C">
              <w:rPr>
                <w:rFonts w:ascii="Times New Roman" w:eastAsia="Times New Roman" w:hAnsi="Times New Roman" w:cs="Times New Roman"/>
                <w:kern w:val="0"/>
                <w:szCs w:val="24"/>
                <w:lang w:eastAsia="en-IN"/>
                <w14:ligatures w14:val="none"/>
              </w:rPr>
              <w:t xml:space="preserve">   </w:t>
            </w:r>
          </w:p>
          <w:p w14:paraId="5219A5C2" w14:textId="77777777" w:rsidR="008E183F" w:rsidRPr="00CA452C" w:rsidRDefault="008E183F" w:rsidP="00974B2E">
            <w:pPr>
              <w:ind w:left="0" w:firstLine="0"/>
              <w:jc w:val="left"/>
              <w:rPr>
                <w:rFonts w:ascii="Times New Roman" w:hAnsi="Times New Roman" w:cs="Times New Roman"/>
                <w:szCs w:val="24"/>
                <w:lang w:val="en-US"/>
              </w:rPr>
            </w:pPr>
          </w:p>
        </w:tc>
      </w:tr>
      <w:tr w:rsidR="00046F9E" w:rsidRPr="00CA452C" w14:paraId="34BE5703" w14:textId="77777777" w:rsidTr="00804CB8">
        <w:tc>
          <w:tcPr>
            <w:tcW w:w="720" w:type="dxa"/>
          </w:tcPr>
          <w:p w14:paraId="3F8DE493" w14:textId="3D26333C" w:rsidR="00046F9E" w:rsidRPr="00CA452C" w:rsidRDefault="00046F9E" w:rsidP="0033361D">
            <w:pPr>
              <w:pStyle w:val="NoSpacing"/>
              <w:ind w:left="0" w:firstLine="0"/>
              <w:rPr>
                <w:rFonts w:ascii="Times New Roman" w:hAnsi="Times New Roman" w:cs="Times New Roman"/>
                <w:szCs w:val="24"/>
                <w:lang w:val="en-US"/>
              </w:rPr>
            </w:pPr>
            <w:r w:rsidRPr="00CA452C">
              <w:rPr>
                <w:rFonts w:ascii="Times New Roman" w:hAnsi="Times New Roman" w:cs="Times New Roman"/>
                <w:szCs w:val="24"/>
                <w:lang w:val="en-US"/>
              </w:rPr>
              <w:t>3.</w:t>
            </w:r>
          </w:p>
        </w:tc>
        <w:tc>
          <w:tcPr>
            <w:tcW w:w="2531" w:type="dxa"/>
          </w:tcPr>
          <w:p w14:paraId="7F8E5671" w14:textId="5F5FD43A" w:rsidR="00111D94" w:rsidRPr="00CA452C" w:rsidRDefault="002676E6" w:rsidP="00111D94">
            <w:pPr>
              <w:ind w:left="0" w:firstLine="0"/>
              <w:jc w:val="left"/>
              <w:rPr>
                <w:rFonts w:ascii="Times New Roman" w:eastAsia="Times New Roman" w:hAnsi="Times New Roman" w:cs="Times New Roman"/>
                <w:b/>
                <w:bCs/>
                <w:kern w:val="0"/>
                <w:szCs w:val="24"/>
                <w:lang w:eastAsia="en-IN"/>
                <w14:ligatures w14:val="none"/>
              </w:rPr>
            </w:pPr>
            <w:r w:rsidRPr="00CA452C">
              <w:rPr>
                <w:rFonts w:ascii="Times New Roman" w:eastAsia="Times New Roman" w:hAnsi="Times New Roman" w:cs="Times New Roman"/>
                <w:b/>
                <w:bCs/>
                <w:kern w:val="0"/>
                <w:szCs w:val="24"/>
                <w:lang w:eastAsia="en-IN"/>
                <w14:ligatures w14:val="none"/>
              </w:rPr>
              <w:t>“</w:t>
            </w:r>
            <w:r w:rsidR="00111D94" w:rsidRPr="00CA452C">
              <w:rPr>
                <w:rFonts w:ascii="Times New Roman" w:eastAsia="Times New Roman" w:hAnsi="Times New Roman" w:cs="Times New Roman"/>
                <w:b/>
                <w:bCs/>
                <w:kern w:val="0"/>
                <w:szCs w:val="24"/>
                <w:lang w:eastAsia="en-IN"/>
                <w14:ligatures w14:val="none"/>
              </w:rPr>
              <w:t>Page 10</w:t>
            </w:r>
            <w:r w:rsidR="00D534E5">
              <w:rPr>
                <w:rFonts w:ascii="Times New Roman" w:eastAsia="Times New Roman" w:hAnsi="Times New Roman" w:cs="Times New Roman"/>
                <w:b/>
                <w:bCs/>
                <w:kern w:val="0"/>
                <w:szCs w:val="24"/>
                <w:lang w:eastAsia="en-IN"/>
                <w14:ligatures w14:val="none"/>
              </w:rPr>
              <w:t xml:space="preserve"> of RFP</w:t>
            </w:r>
            <w:r w:rsidR="00111D94" w:rsidRPr="00CA452C">
              <w:rPr>
                <w:rFonts w:ascii="Times New Roman" w:eastAsia="Times New Roman" w:hAnsi="Times New Roman" w:cs="Times New Roman"/>
                <w:b/>
                <w:bCs/>
                <w:kern w:val="0"/>
                <w:szCs w:val="24"/>
                <w:lang w:eastAsia="en-IN"/>
                <w14:ligatures w14:val="none"/>
              </w:rPr>
              <w:t xml:space="preserve">. </w:t>
            </w:r>
          </w:p>
          <w:p w14:paraId="6C87705C" w14:textId="6D5C0DE7" w:rsidR="00111D94" w:rsidRPr="00CA452C" w:rsidRDefault="00111D94" w:rsidP="00111D94">
            <w:pPr>
              <w:ind w:left="0" w:firstLine="0"/>
              <w:jc w:val="left"/>
              <w:rPr>
                <w:rFonts w:ascii="Times New Roman" w:eastAsia="Times New Roman" w:hAnsi="Times New Roman" w:cs="Times New Roman"/>
                <w:b/>
                <w:bCs/>
                <w:kern w:val="0"/>
                <w:szCs w:val="24"/>
                <w:lang w:eastAsia="en-IN"/>
                <w14:ligatures w14:val="none"/>
              </w:rPr>
            </w:pPr>
            <w:r w:rsidRPr="00CA452C">
              <w:rPr>
                <w:rFonts w:ascii="Times New Roman" w:eastAsia="Times New Roman" w:hAnsi="Times New Roman" w:cs="Times New Roman"/>
                <w:b/>
                <w:bCs/>
                <w:kern w:val="0"/>
                <w:szCs w:val="24"/>
                <w:lang w:eastAsia="en-IN"/>
                <w14:ligatures w14:val="none"/>
              </w:rPr>
              <w:t>12C. Tax Compliances for Direct Taxes</w:t>
            </w:r>
          </w:p>
          <w:p w14:paraId="0F5604BB" w14:textId="77777777" w:rsidR="002676E6" w:rsidRPr="00CA452C" w:rsidRDefault="002676E6" w:rsidP="00111D94">
            <w:pPr>
              <w:ind w:left="0" w:firstLine="0"/>
              <w:jc w:val="left"/>
              <w:rPr>
                <w:rFonts w:ascii="Times New Roman" w:eastAsia="Times New Roman" w:hAnsi="Times New Roman" w:cs="Times New Roman"/>
                <w:b/>
                <w:bCs/>
                <w:kern w:val="0"/>
                <w:szCs w:val="24"/>
                <w:lang w:eastAsia="en-IN"/>
                <w14:ligatures w14:val="none"/>
              </w:rPr>
            </w:pPr>
          </w:p>
          <w:p w14:paraId="0F89BC67" w14:textId="77777777" w:rsidR="002676E6" w:rsidRPr="00CA452C" w:rsidRDefault="002676E6" w:rsidP="00111D94">
            <w:pPr>
              <w:ind w:left="0" w:firstLine="0"/>
              <w:jc w:val="left"/>
              <w:rPr>
                <w:rFonts w:ascii="Times New Roman" w:eastAsia="Times New Roman" w:hAnsi="Times New Roman" w:cs="Times New Roman"/>
                <w:b/>
                <w:bCs/>
                <w:kern w:val="0"/>
                <w:szCs w:val="24"/>
                <w:lang w:eastAsia="en-IN"/>
                <w14:ligatures w14:val="none"/>
              </w:rPr>
            </w:pPr>
          </w:p>
          <w:p w14:paraId="56967394" w14:textId="77777777" w:rsidR="002676E6" w:rsidRPr="00CA452C" w:rsidRDefault="002676E6" w:rsidP="002676E6">
            <w:pPr>
              <w:pStyle w:val="xxmsoplaintext"/>
              <w:shd w:val="clear" w:color="auto" w:fill="FFFFFF"/>
              <w:spacing w:before="0" w:beforeAutospacing="0" w:after="0" w:afterAutospacing="0"/>
              <w:jc w:val="both"/>
              <w:rPr>
                <w:color w:val="242424"/>
              </w:rPr>
            </w:pPr>
            <w:r w:rsidRPr="00CA452C">
              <w:rPr>
                <w:color w:val="242424"/>
              </w:rPr>
              <w:t>Representation: Liaison and representation in audits, disputes, and correspondence with tax authorities.</w:t>
            </w:r>
          </w:p>
          <w:p w14:paraId="64DCCF34" w14:textId="77777777" w:rsidR="002676E6" w:rsidRPr="00CA452C" w:rsidRDefault="002676E6" w:rsidP="002676E6">
            <w:pPr>
              <w:pStyle w:val="xxmsoplaintext"/>
              <w:shd w:val="clear" w:color="auto" w:fill="FFFFFF"/>
              <w:spacing w:before="0" w:beforeAutospacing="0" w:after="0" w:afterAutospacing="0"/>
              <w:jc w:val="both"/>
              <w:rPr>
                <w:color w:val="242424"/>
              </w:rPr>
            </w:pPr>
            <w:r w:rsidRPr="00CA452C">
              <w:rPr>
                <w:color w:val="242424"/>
              </w:rPr>
              <w:t> </w:t>
            </w:r>
          </w:p>
          <w:p w14:paraId="4186AFC6" w14:textId="77777777" w:rsidR="00046F9E" w:rsidRPr="00CA452C" w:rsidRDefault="00046F9E" w:rsidP="005B12D2">
            <w:pPr>
              <w:ind w:left="0" w:firstLine="0"/>
              <w:jc w:val="left"/>
              <w:rPr>
                <w:rFonts w:ascii="Times New Roman" w:eastAsia="Times New Roman" w:hAnsi="Times New Roman" w:cs="Times New Roman"/>
                <w:b/>
                <w:bCs/>
                <w:kern w:val="0"/>
                <w:szCs w:val="24"/>
                <w:lang w:eastAsia="en-IN"/>
                <w14:ligatures w14:val="none"/>
              </w:rPr>
            </w:pPr>
          </w:p>
        </w:tc>
        <w:tc>
          <w:tcPr>
            <w:tcW w:w="3191" w:type="dxa"/>
          </w:tcPr>
          <w:p w14:paraId="12EAA12B" w14:textId="709BEF0F" w:rsidR="00111D94" w:rsidRPr="00CA452C" w:rsidRDefault="003103BC" w:rsidP="00111D94">
            <w:pPr>
              <w:pStyle w:val="xxmsoplaintext"/>
              <w:shd w:val="clear" w:color="auto" w:fill="FFFFFF"/>
              <w:spacing w:before="0" w:beforeAutospacing="0" w:after="0" w:afterAutospacing="0"/>
              <w:jc w:val="both"/>
              <w:rPr>
                <w:color w:val="242424"/>
              </w:rPr>
            </w:pPr>
            <w:r w:rsidRPr="00CA452C">
              <w:rPr>
                <w:color w:val="242424"/>
              </w:rPr>
              <w:t>“</w:t>
            </w:r>
            <w:r w:rsidR="00111D94" w:rsidRPr="00CA452C">
              <w:rPr>
                <w:color w:val="242424"/>
              </w:rPr>
              <w:t>Kindly confirm whether it will include the following:</w:t>
            </w:r>
          </w:p>
          <w:p w14:paraId="4E35AED6" w14:textId="77777777" w:rsidR="00111D94" w:rsidRPr="00CA452C" w:rsidRDefault="00111D94" w:rsidP="00111D94">
            <w:pPr>
              <w:pStyle w:val="xxmsoplaintext"/>
              <w:shd w:val="clear" w:color="auto" w:fill="FFFFFF"/>
              <w:spacing w:before="0" w:beforeAutospacing="0" w:after="0" w:afterAutospacing="0"/>
              <w:jc w:val="both"/>
              <w:rPr>
                <w:color w:val="242424"/>
              </w:rPr>
            </w:pPr>
            <w:r w:rsidRPr="00CA452C">
              <w:rPr>
                <w:color w:val="242424"/>
              </w:rPr>
              <w:t>(i) representation before the Commissioner of Income-tax (Appeals), including drafting and filing of written submissions, attending hearings; and</w:t>
            </w:r>
          </w:p>
          <w:p w14:paraId="7C8114C4" w14:textId="6742D5EC" w:rsidR="00111D94" w:rsidRPr="00CA452C" w:rsidRDefault="00111D94" w:rsidP="00111D94">
            <w:pPr>
              <w:pStyle w:val="xxmsoplaintext"/>
              <w:shd w:val="clear" w:color="auto" w:fill="FFFFFF"/>
              <w:spacing w:before="0" w:beforeAutospacing="0" w:after="0" w:afterAutospacing="0"/>
              <w:jc w:val="both"/>
              <w:rPr>
                <w:color w:val="242424"/>
              </w:rPr>
            </w:pPr>
            <w:r w:rsidRPr="00CA452C">
              <w:rPr>
                <w:color w:val="242424"/>
              </w:rPr>
              <w:t>(iii) litigation support at the Income-tax Appellate Tribunal (ITAT) level, including preparation of paper books / documentation, drafting synopsis/notes (as required), and briefing/assisting external counsel for arguing the matter before the ITAT.</w:t>
            </w:r>
            <w:r w:rsidR="003103BC" w:rsidRPr="00CA452C">
              <w:rPr>
                <w:color w:val="242424"/>
              </w:rPr>
              <w:t>”</w:t>
            </w:r>
          </w:p>
          <w:p w14:paraId="7F0698E9" w14:textId="77777777" w:rsidR="00111D94" w:rsidRPr="00CA452C" w:rsidRDefault="00111D94" w:rsidP="00111D94">
            <w:pPr>
              <w:rPr>
                <w:rFonts w:ascii="Times New Roman" w:hAnsi="Times New Roman" w:cs="Times New Roman"/>
                <w:szCs w:val="24"/>
              </w:rPr>
            </w:pPr>
          </w:p>
          <w:p w14:paraId="671206A2" w14:textId="77777777" w:rsidR="00046F9E" w:rsidRPr="00CA452C" w:rsidRDefault="00046F9E" w:rsidP="005B12D2">
            <w:pPr>
              <w:ind w:left="0" w:firstLine="0"/>
              <w:jc w:val="left"/>
              <w:rPr>
                <w:rFonts w:ascii="Times New Roman" w:eastAsia="Times New Roman" w:hAnsi="Times New Roman" w:cs="Times New Roman"/>
                <w:kern w:val="0"/>
                <w:szCs w:val="24"/>
                <w:lang w:eastAsia="en-IN"/>
                <w14:ligatures w14:val="none"/>
              </w:rPr>
            </w:pPr>
          </w:p>
        </w:tc>
        <w:tc>
          <w:tcPr>
            <w:tcW w:w="2211" w:type="dxa"/>
          </w:tcPr>
          <w:p w14:paraId="6C9FBCB3" w14:textId="1A3972AC" w:rsidR="00111D94" w:rsidRPr="00CA452C" w:rsidRDefault="00111D94" w:rsidP="00111D94">
            <w:pPr>
              <w:pStyle w:val="xxmsoplaintext"/>
              <w:shd w:val="clear" w:color="auto" w:fill="FFFFFF"/>
              <w:spacing w:before="0" w:beforeAutospacing="0" w:after="0" w:afterAutospacing="0"/>
              <w:jc w:val="both"/>
              <w:rPr>
                <w:color w:val="242424"/>
              </w:rPr>
            </w:pPr>
            <w:r w:rsidRPr="00CA452C">
              <w:rPr>
                <w:color w:val="0A0A0A"/>
                <w:shd w:val="clear" w:color="auto" w:fill="FFFFFF"/>
              </w:rPr>
              <w:t>Yes,</w:t>
            </w:r>
            <w:r w:rsidR="003103BC" w:rsidRPr="00CA452C">
              <w:rPr>
                <w:color w:val="0A0A0A"/>
                <w:shd w:val="clear" w:color="auto" w:fill="FFFFFF"/>
              </w:rPr>
              <w:t xml:space="preserve"> it </w:t>
            </w:r>
            <w:r w:rsidRPr="00CA452C">
              <w:rPr>
                <w:color w:val="0A0A0A"/>
                <w:shd w:val="clear" w:color="auto" w:fill="FFFFFF"/>
              </w:rPr>
              <w:t xml:space="preserve">includes both: </w:t>
            </w:r>
            <w:r w:rsidRPr="00CA452C">
              <w:rPr>
                <w:color w:val="242424"/>
              </w:rPr>
              <w:t>representation</w:t>
            </w:r>
            <w:r w:rsidR="002676E6" w:rsidRPr="00CA452C">
              <w:rPr>
                <w:color w:val="242424"/>
              </w:rPr>
              <w:t xml:space="preserve"> </w:t>
            </w:r>
            <w:r w:rsidRPr="00CA452C">
              <w:rPr>
                <w:color w:val="242424"/>
              </w:rPr>
              <w:t xml:space="preserve">before the </w:t>
            </w:r>
            <w:r w:rsidR="002676E6" w:rsidRPr="00CA452C">
              <w:rPr>
                <w:color w:val="242424"/>
              </w:rPr>
              <w:t xml:space="preserve">Commissioner of </w:t>
            </w:r>
            <w:r w:rsidRPr="00CA452C">
              <w:rPr>
                <w:color w:val="242424"/>
              </w:rPr>
              <w:t xml:space="preserve">Income Tax </w:t>
            </w:r>
            <w:r w:rsidR="002676E6" w:rsidRPr="00CA452C">
              <w:rPr>
                <w:color w:val="242424"/>
              </w:rPr>
              <w:t>(Appeals), in</w:t>
            </w:r>
            <w:r w:rsidRPr="00CA452C">
              <w:rPr>
                <w:color w:val="242424"/>
              </w:rPr>
              <w:t>cluding drafting and filing of written submissions, attending hearings; and</w:t>
            </w:r>
          </w:p>
          <w:p w14:paraId="47170B39" w14:textId="77777777" w:rsidR="00111D94" w:rsidRPr="00CA452C" w:rsidRDefault="00111D94" w:rsidP="00111D94">
            <w:pPr>
              <w:pStyle w:val="xxmsoplaintext"/>
              <w:shd w:val="clear" w:color="auto" w:fill="FFFFFF"/>
              <w:spacing w:before="0" w:beforeAutospacing="0" w:after="0" w:afterAutospacing="0"/>
              <w:jc w:val="both"/>
              <w:rPr>
                <w:color w:val="242424"/>
              </w:rPr>
            </w:pPr>
            <w:r w:rsidRPr="00CA452C">
              <w:rPr>
                <w:color w:val="242424"/>
              </w:rPr>
              <w:t xml:space="preserve">(iii) litigation support at the Income-tax Appellate Tribunal (ITAT) level, including preparation of paper books / documentation, drafting synopsis/notes (as required), and </w:t>
            </w:r>
            <w:r w:rsidRPr="00CA452C">
              <w:rPr>
                <w:color w:val="242424"/>
              </w:rPr>
              <w:lastRenderedPageBreak/>
              <w:t>briefing/assisting external counsel for arguing the matter before the ITAT.</w:t>
            </w:r>
          </w:p>
          <w:p w14:paraId="39956E89" w14:textId="173BF2F1" w:rsidR="00046F9E" w:rsidRPr="00CA452C" w:rsidRDefault="00046F9E" w:rsidP="00804CB8">
            <w:pPr>
              <w:ind w:left="0" w:firstLine="0"/>
              <w:jc w:val="left"/>
              <w:rPr>
                <w:rFonts w:ascii="Times New Roman" w:eastAsia="Times New Roman" w:hAnsi="Times New Roman" w:cs="Times New Roman"/>
                <w:color w:val="0A0A0A"/>
                <w:kern w:val="0"/>
                <w:szCs w:val="24"/>
                <w:shd w:val="clear" w:color="auto" w:fill="FFFFFF"/>
                <w:lang w:eastAsia="en-IN"/>
                <w14:ligatures w14:val="none"/>
              </w:rPr>
            </w:pPr>
          </w:p>
        </w:tc>
      </w:tr>
    </w:tbl>
    <w:p w14:paraId="1E55BD0D" w14:textId="77777777" w:rsidR="0033361D" w:rsidRPr="00CA452C" w:rsidRDefault="0033361D" w:rsidP="0033361D">
      <w:pPr>
        <w:pStyle w:val="NoSpacing"/>
        <w:ind w:left="357"/>
        <w:rPr>
          <w:rFonts w:ascii="Times New Roman" w:hAnsi="Times New Roman" w:cs="Times New Roman"/>
          <w:szCs w:val="24"/>
          <w:lang w:val="en-US"/>
        </w:rPr>
      </w:pPr>
    </w:p>
    <w:p w14:paraId="6CE61D2E" w14:textId="77777777" w:rsidR="00C0252A" w:rsidRPr="00CA452C" w:rsidRDefault="00C0252A" w:rsidP="0033361D">
      <w:pPr>
        <w:pStyle w:val="NoSpacing"/>
        <w:ind w:left="357"/>
        <w:rPr>
          <w:rFonts w:ascii="Times New Roman" w:hAnsi="Times New Roman" w:cs="Times New Roman"/>
          <w:szCs w:val="24"/>
          <w:lang w:val="en-US"/>
        </w:rPr>
      </w:pPr>
    </w:p>
    <w:p w14:paraId="6A777146" w14:textId="77777777" w:rsidR="00C0252A" w:rsidRPr="00CA452C" w:rsidRDefault="00C0252A" w:rsidP="0033361D">
      <w:pPr>
        <w:pStyle w:val="NoSpacing"/>
        <w:ind w:left="357"/>
        <w:rPr>
          <w:rFonts w:ascii="Times New Roman" w:hAnsi="Times New Roman" w:cs="Times New Roman"/>
          <w:szCs w:val="24"/>
          <w:lang w:val="en-US"/>
        </w:rPr>
      </w:pPr>
    </w:p>
    <w:p w14:paraId="0405DF50" w14:textId="77777777" w:rsidR="00C0252A" w:rsidRPr="00CA452C" w:rsidRDefault="00C0252A" w:rsidP="0033361D">
      <w:pPr>
        <w:pStyle w:val="NoSpacing"/>
        <w:ind w:left="357"/>
        <w:rPr>
          <w:rFonts w:ascii="Times New Roman" w:hAnsi="Times New Roman" w:cs="Times New Roman"/>
          <w:szCs w:val="24"/>
          <w:lang w:val="en-US"/>
        </w:rPr>
      </w:pPr>
    </w:p>
    <w:p w14:paraId="1A4ECFB8" w14:textId="6959B699" w:rsidR="006F51EA" w:rsidRDefault="0033361D" w:rsidP="002676E6">
      <w:pPr>
        <w:pStyle w:val="NoSpacing"/>
        <w:ind w:left="357"/>
        <w:rPr>
          <w:rFonts w:ascii="Times New Roman" w:hAnsi="Times New Roman" w:cs="Times New Roman"/>
          <w:szCs w:val="24"/>
          <w:lang w:val="en-US"/>
        </w:rPr>
      </w:pPr>
      <w:r w:rsidRPr="00CA452C">
        <w:rPr>
          <w:rFonts w:ascii="Times New Roman" w:hAnsi="Times New Roman" w:cs="Times New Roman"/>
          <w:szCs w:val="24"/>
          <w:lang w:val="en-US"/>
        </w:rPr>
        <w:t xml:space="preserve">  </w:t>
      </w:r>
    </w:p>
    <w:p w14:paraId="61F6BD59" w14:textId="7129FC1C" w:rsidR="00842FD8" w:rsidRPr="00CA452C" w:rsidRDefault="00842FD8" w:rsidP="002676E6">
      <w:pPr>
        <w:pStyle w:val="NoSpacing"/>
        <w:ind w:left="357"/>
        <w:rPr>
          <w:rFonts w:ascii="Times New Roman" w:hAnsi="Times New Roman" w:cs="Times New Roman"/>
          <w:szCs w:val="24"/>
        </w:rPr>
      </w:pPr>
      <w:r>
        <w:rPr>
          <w:rFonts w:ascii="Times New Roman" w:hAnsi="Times New Roman" w:cs="Times New Roman"/>
          <w:szCs w:val="24"/>
          <w:lang w:val="en-US"/>
        </w:rPr>
        <w:t xml:space="preserve">   </w:t>
      </w:r>
    </w:p>
    <w:p w14:paraId="1ECD2425" w14:textId="77777777" w:rsidR="006F51EA" w:rsidRPr="00CA452C" w:rsidRDefault="006F51EA">
      <w:pPr>
        <w:rPr>
          <w:rFonts w:ascii="Times New Roman" w:hAnsi="Times New Roman" w:cs="Times New Roman"/>
          <w:szCs w:val="24"/>
          <w:lang w:val="en-US"/>
        </w:rPr>
      </w:pPr>
    </w:p>
    <w:sectPr w:rsidR="006F51EA" w:rsidRPr="00CA452C" w:rsidSect="00417004">
      <w:pgSz w:w="11900" w:h="16820"/>
      <w:pgMar w:top="1440" w:right="1440" w:bottom="1440" w:left="1440"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CADC" w14:textId="77777777" w:rsidR="005D48D9" w:rsidRDefault="005D48D9" w:rsidP="00417004">
      <w:pPr>
        <w:spacing w:before="0" w:after="0"/>
      </w:pPr>
      <w:r>
        <w:separator/>
      </w:r>
    </w:p>
  </w:endnote>
  <w:endnote w:type="continuationSeparator" w:id="0">
    <w:p w14:paraId="6345695E" w14:textId="77777777" w:rsidR="005D48D9" w:rsidRDefault="005D48D9" w:rsidP="004170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8ED5" w14:textId="77777777" w:rsidR="005D48D9" w:rsidRDefault="005D48D9" w:rsidP="00417004">
      <w:pPr>
        <w:spacing w:before="0" w:after="0"/>
      </w:pPr>
      <w:r>
        <w:separator/>
      </w:r>
    </w:p>
  </w:footnote>
  <w:footnote w:type="continuationSeparator" w:id="0">
    <w:p w14:paraId="336727E1" w14:textId="77777777" w:rsidR="005D48D9" w:rsidRDefault="005D48D9" w:rsidP="0041700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D1D43"/>
    <w:multiLevelType w:val="multilevel"/>
    <w:tmpl w:val="ABF419A2"/>
    <w:lvl w:ilvl="0">
      <w:start w:val="1"/>
      <w:numFmt w:val="low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D807064"/>
    <w:multiLevelType w:val="multilevel"/>
    <w:tmpl w:val="E2C0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846626">
    <w:abstractNumId w:val="0"/>
  </w:num>
  <w:num w:numId="2" w16cid:durableId="494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E4"/>
    <w:rsid w:val="00046F9E"/>
    <w:rsid w:val="0007305B"/>
    <w:rsid w:val="000834CC"/>
    <w:rsid w:val="00103F32"/>
    <w:rsid w:val="00111D94"/>
    <w:rsid w:val="002676E6"/>
    <w:rsid w:val="003103BC"/>
    <w:rsid w:val="0033361D"/>
    <w:rsid w:val="003B4F88"/>
    <w:rsid w:val="00417004"/>
    <w:rsid w:val="004B7B60"/>
    <w:rsid w:val="005B12D2"/>
    <w:rsid w:val="005D48D9"/>
    <w:rsid w:val="006317AB"/>
    <w:rsid w:val="006B1C04"/>
    <w:rsid w:val="006F51EA"/>
    <w:rsid w:val="00804CB8"/>
    <w:rsid w:val="00842FD8"/>
    <w:rsid w:val="008A670A"/>
    <w:rsid w:val="008E183F"/>
    <w:rsid w:val="008E44D9"/>
    <w:rsid w:val="009043E4"/>
    <w:rsid w:val="00974B2E"/>
    <w:rsid w:val="009E25E1"/>
    <w:rsid w:val="00AC202B"/>
    <w:rsid w:val="00C0252A"/>
    <w:rsid w:val="00C33786"/>
    <w:rsid w:val="00CA452C"/>
    <w:rsid w:val="00CD2A69"/>
    <w:rsid w:val="00D106B0"/>
    <w:rsid w:val="00D534E5"/>
    <w:rsid w:val="00D56EDB"/>
    <w:rsid w:val="00DF42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E828"/>
  <w15:chartTrackingRefBased/>
  <w15:docId w15:val="{362E23B4-8275-43B0-ADDD-EA7DEFCD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before="240" w:after="240"/>
        <w:ind w:left="107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3E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043E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043E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04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3E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3E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E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043E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043E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04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3E4"/>
    <w:rPr>
      <w:rFonts w:eastAsiaTheme="majorEastAsia" w:cstheme="majorBidi"/>
      <w:color w:val="272727" w:themeColor="text1" w:themeTint="D8"/>
    </w:rPr>
  </w:style>
  <w:style w:type="paragraph" w:styleId="Title">
    <w:name w:val="Title"/>
    <w:basedOn w:val="Normal"/>
    <w:next w:val="Normal"/>
    <w:link w:val="TitleChar"/>
    <w:uiPriority w:val="10"/>
    <w:qFormat/>
    <w:rsid w:val="009043E4"/>
    <w:pPr>
      <w:spacing w:before="0"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043E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043E4"/>
    <w:pPr>
      <w:numPr>
        <w:ilvl w:val="1"/>
      </w:numPr>
      <w:spacing w:after="160"/>
      <w:ind w:left="1077" w:hanging="357"/>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043E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043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43E4"/>
    <w:rPr>
      <w:i/>
      <w:iCs/>
      <w:color w:val="404040" w:themeColor="text1" w:themeTint="BF"/>
    </w:rPr>
  </w:style>
  <w:style w:type="paragraph" w:styleId="ListParagraph">
    <w:name w:val="List Paragraph"/>
    <w:basedOn w:val="Normal"/>
    <w:uiPriority w:val="34"/>
    <w:qFormat/>
    <w:rsid w:val="009043E4"/>
    <w:pPr>
      <w:ind w:left="720"/>
      <w:contextualSpacing/>
    </w:pPr>
  </w:style>
  <w:style w:type="character" w:styleId="IntenseEmphasis">
    <w:name w:val="Intense Emphasis"/>
    <w:basedOn w:val="DefaultParagraphFont"/>
    <w:uiPriority w:val="21"/>
    <w:qFormat/>
    <w:rsid w:val="009043E4"/>
    <w:rPr>
      <w:i/>
      <w:iCs/>
      <w:color w:val="0F4761" w:themeColor="accent1" w:themeShade="BF"/>
    </w:rPr>
  </w:style>
  <w:style w:type="paragraph" w:styleId="IntenseQuote">
    <w:name w:val="Intense Quote"/>
    <w:basedOn w:val="Normal"/>
    <w:next w:val="Normal"/>
    <w:link w:val="IntenseQuoteChar"/>
    <w:uiPriority w:val="30"/>
    <w:qFormat/>
    <w:rsid w:val="00904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3E4"/>
    <w:rPr>
      <w:i/>
      <w:iCs/>
      <w:color w:val="0F4761" w:themeColor="accent1" w:themeShade="BF"/>
    </w:rPr>
  </w:style>
  <w:style w:type="character" w:styleId="IntenseReference">
    <w:name w:val="Intense Reference"/>
    <w:basedOn w:val="DefaultParagraphFont"/>
    <w:uiPriority w:val="32"/>
    <w:qFormat/>
    <w:rsid w:val="009043E4"/>
    <w:rPr>
      <w:b/>
      <w:bCs/>
      <w:smallCaps/>
      <w:color w:val="0F4761" w:themeColor="accent1" w:themeShade="BF"/>
      <w:spacing w:val="5"/>
    </w:rPr>
  </w:style>
  <w:style w:type="paragraph" w:styleId="Header">
    <w:name w:val="header"/>
    <w:basedOn w:val="Normal"/>
    <w:link w:val="HeaderChar"/>
    <w:uiPriority w:val="99"/>
    <w:unhideWhenUsed/>
    <w:rsid w:val="00417004"/>
    <w:pPr>
      <w:tabs>
        <w:tab w:val="center" w:pos="4513"/>
        <w:tab w:val="right" w:pos="9026"/>
      </w:tabs>
      <w:spacing w:before="0" w:after="0"/>
    </w:pPr>
  </w:style>
  <w:style w:type="character" w:customStyle="1" w:styleId="HeaderChar">
    <w:name w:val="Header Char"/>
    <w:basedOn w:val="DefaultParagraphFont"/>
    <w:link w:val="Header"/>
    <w:uiPriority w:val="99"/>
    <w:rsid w:val="00417004"/>
  </w:style>
  <w:style w:type="paragraph" w:styleId="Footer">
    <w:name w:val="footer"/>
    <w:basedOn w:val="Normal"/>
    <w:link w:val="FooterChar"/>
    <w:uiPriority w:val="99"/>
    <w:unhideWhenUsed/>
    <w:rsid w:val="00417004"/>
    <w:pPr>
      <w:tabs>
        <w:tab w:val="center" w:pos="4513"/>
        <w:tab w:val="right" w:pos="9026"/>
      </w:tabs>
      <w:spacing w:before="0" w:after="0"/>
    </w:pPr>
  </w:style>
  <w:style w:type="character" w:customStyle="1" w:styleId="FooterChar">
    <w:name w:val="Footer Char"/>
    <w:basedOn w:val="DefaultParagraphFont"/>
    <w:link w:val="Footer"/>
    <w:uiPriority w:val="99"/>
    <w:rsid w:val="00417004"/>
  </w:style>
  <w:style w:type="paragraph" w:customStyle="1" w:styleId="xxmsoplaintext">
    <w:name w:val="x_x_msoplaintext"/>
    <w:basedOn w:val="Normal"/>
    <w:rsid w:val="006F51EA"/>
    <w:pPr>
      <w:spacing w:before="100" w:beforeAutospacing="1" w:after="100" w:afterAutospacing="1"/>
      <w:ind w:left="0" w:firstLine="0"/>
      <w:jc w:val="left"/>
    </w:pPr>
    <w:rPr>
      <w:rFonts w:ascii="Times New Roman" w:eastAsia="Times New Roman" w:hAnsi="Times New Roman" w:cs="Times New Roman"/>
      <w:kern w:val="0"/>
      <w:szCs w:val="24"/>
      <w:lang w:eastAsia="en-IN"/>
      <w14:ligatures w14:val="none"/>
    </w:rPr>
  </w:style>
  <w:style w:type="paragraph" w:styleId="NoSpacing">
    <w:name w:val="No Spacing"/>
    <w:uiPriority w:val="1"/>
    <w:qFormat/>
    <w:rsid w:val="004B7B60"/>
    <w:pPr>
      <w:spacing w:before="0" w:after="0"/>
    </w:pPr>
  </w:style>
  <w:style w:type="table" w:styleId="TableGrid">
    <w:name w:val="Table Grid"/>
    <w:basedOn w:val="TableNormal"/>
    <w:uiPriority w:val="39"/>
    <w:rsid w:val="00C0252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Kaushik</dc:creator>
  <cp:keywords/>
  <dc:description/>
  <cp:lastModifiedBy>Rajeev Kaushik</cp:lastModifiedBy>
  <cp:revision>6</cp:revision>
  <cp:lastPrinted>2026-04-16T11:06:00Z</cp:lastPrinted>
  <dcterms:created xsi:type="dcterms:W3CDTF">2026-04-16T05:50:00Z</dcterms:created>
  <dcterms:modified xsi:type="dcterms:W3CDTF">2026-04-16T11:10:00Z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9afc1c-a6a6-4bb7-a4d7-1a42d4095b31_Enabled">
    <vt:lpwstr>true</vt:lpwstr>
  </property>
  <property fmtid="{D5CDD505-2E9C-101B-9397-08002B2CF9AE}" pid="3" name="MSIP_Label_8d9afc1c-a6a6-4bb7-a4d7-1a42d4095b31_SetDate">
    <vt:lpwstr>2026-04-16T05:50:41Z</vt:lpwstr>
  </property>
  <property fmtid="{D5CDD505-2E9C-101B-9397-08002B2CF9AE}" pid="4" name="MSIP_Label_8d9afc1c-a6a6-4bb7-a4d7-1a42d4095b31_Method">
    <vt:lpwstr>Privileged</vt:lpwstr>
  </property>
  <property fmtid="{D5CDD505-2E9C-101B-9397-08002B2CF9AE}" pid="5" name="MSIP_Label_8d9afc1c-a6a6-4bb7-a4d7-1a42d4095b31_Name">
    <vt:lpwstr>Global</vt:lpwstr>
  </property>
  <property fmtid="{D5CDD505-2E9C-101B-9397-08002B2CF9AE}" pid="6" name="MSIP_Label_8d9afc1c-a6a6-4bb7-a4d7-1a42d4095b31_SiteId">
    <vt:lpwstr>9ec27ca4-b95b-4259-9c82-d1b836d433a0</vt:lpwstr>
  </property>
  <property fmtid="{D5CDD505-2E9C-101B-9397-08002B2CF9AE}" pid="7" name="MSIP_Label_8d9afc1c-a6a6-4bb7-a4d7-1a42d4095b31_ActionId">
    <vt:lpwstr>4875aa7a-581a-4ecf-8122-b3b940cea29e</vt:lpwstr>
  </property>
  <property fmtid="{D5CDD505-2E9C-101B-9397-08002B2CF9AE}" pid="8" name="MSIP_Label_8d9afc1c-a6a6-4bb7-a4d7-1a42d4095b31_ContentBits">
    <vt:lpwstr>0</vt:lpwstr>
  </property>
  <property fmtid="{D5CDD505-2E9C-101B-9397-08002B2CF9AE}" pid="9" name="MSIP_Label_8d9afc1c-a6a6-4bb7-a4d7-1a42d4095b31_Tag">
    <vt:lpwstr>10, 0, 1, 1</vt:lpwstr>
  </property>
</Properties>
</file>